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9F" w:rsidRDefault="00D46BB7" w:rsidP="00550F9F">
      <w:pPr>
        <w:rPr>
          <w:rFonts w:ascii="Bell MT" w:hAnsi="Bell MT"/>
          <w:b/>
          <w:bCs/>
          <w:sz w:val="32"/>
          <w:szCs w:val="32"/>
        </w:rPr>
      </w:pPr>
      <w:r w:rsidRPr="00D46BB7">
        <w:rPr>
          <w:rFonts w:ascii="Bell MT" w:hAnsi="Bell MT"/>
          <w:b/>
          <w:bCs/>
          <w:sz w:val="32"/>
          <w:szCs w:val="32"/>
        </w:rPr>
        <w:t>Writing Nepantla</w:t>
      </w:r>
    </w:p>
    <w:p w:rsidR="00D46BB7" w:rsidRDefault="00D46BB7" w:rsidP="00550F9F">
      <w:pPr>
        <w:rPr>
          <w:rFonts w:ascii="Bell MT" w:hAnsi="Bell MT"/>
          <w:b/>
          <w:bCs/>
          <w:sz w:val="32"/>
          <w:szCs w:val="32"/>
        </w:rPr>
      </w:pPr>
    </w:p>
    <w:p w:rsidR="00D46BB7" w:rsidRPr="0076418E" w:rsidRDefault="00D46BB7" w:rsidP="00550F9F">
      <w:pPr>
        <w:rPr>
          <w:rFonts w:ascii="Bell MT" w:hAnsi="Bell MT"/>
          <w:b/>
          <w:bCs/>
          <w:sz w:val="28"/>
          <w:szCs w:val="28"/>
          <w:u w:val="single"/>
        </w:rPr>
      </w:pPr>
    </w:p>
    <w:p w:rsidR="00D46BB7" w:rsidRDefault="00D46BB7" w:rsidP="00550F9F">
      <w:pPr>
        <w:rPr>
          <w:rFonts w:ascii="Bell MT" w:hAnsi="Bell MT"/>
          <w:sz w:val="28"/>
          <w:szCs w:val="28"/>
          <w:u w:val="single"/>
        </w:rPr>
      </w:pPr>
    </w:p>
    <w:p w:rsidR="00E72F73" w:rsidRPr="00E72F73" w:rsidRDefault="00E72F73" w:rsidP="00550F9F">
      <w:pPr>
        <w:rPr>
          <w:rFonts w:ascii="Bell MT" w:hAnsi="Bell MT"/>
          <w:b/>
          <w:bCs/>
          <w:sz w:val="28"/>
          <w:szCs w:val="28"/>
          <w:u w:val="single"/>
        </w:rPr>
      </w:pPr>
      <w:r w:rsidRPr="00E72F73">
        <w:rPr>
          <w:rFonts w:ascii="Bell MT" w:hAnsi="Bell MT"/>
          <w:b/>
          <w:bCs/>
          <w:sz w:val="28"/>
          <w:szCs w:val="28"/>
          <w:u w:val="single"/>
        </w:rPr>
        <w:t>Statement</w:t>
      </w:r>
    </w:p>
    <w:p w:rsidR="00E72F73" w:rsidRDefault="00E72F73" w:rsidP="00550F9F">
      <w:pPr>
        <w:rPr>
          <w:rFonts w:ascii="Bell MT" w:hAnsi="Bell MT"/>
          <w:sz w:val="28"/>
          <w:szCs w:val="28"/>
          <w:u w:val="single"/>
        </w:rPr>
      </w:pPr>
    </w:p>
    <w:p w:rsidR="00E72F73" w:rsidRPr="00E72F73" w:rsidRDefault="00E72F73" w:rsidP="00550F9F">
      <w:pPr>
        <w:rPr>
          <w:rFonts w:ascii="Bell MT" w:hAnsi="Bell MT"/>
          <w:sz w:val="28"/>
          <w:szCs w:val="28"/>
        </w:rPr>
      </w:pPr>
      <w:r w:rsidRPr="00E72F73">
        <w:rPr>
          <w:rFonts w:ascii="Bell MT" w:hAnsi="Bell MT"/>
          <w:sz w:val="28"/>
          <w:szCs w:val="28"/>
        </w:rPr>
        <w:t>Nepantla writers believe in bridges not borders. Maybe it is because of the complexity of being from possibility itself, from a dream place that is not this or that, not here nor there. Our geography is uncharted land, fluid as our tongues. With the ability to switch between English and Spanish and all the languages and dialects in between, our work, and how we help others be proud to write in all their tongues, despite being told not to speak, is what this panel and discussion will address.</w:t>
      </w:r>
    </w:p>
    <w:p w:rsidR="0076418E" w:rsidRDefault="0076418E" w:rsidP="00D46BB7">
      <w:pPr>
        <w:pStyle w:val="NormalWeb"/>
        <w:shd w:val="clear" w:color="auto" w:fill="FFFFFF"/>
        <w:rPr>
          <w:rFonts w:ascii="Bell MT" w:hAnsi="Bell MT"/>
          <w:sz w:val="28"/>
          <w:szCs w:val="28"/>
        </w:rPr>
      </w:pPr>
      <w:r w:rsidRPr="0076418E">
        <w:rPr>
          <w:rFonts w:ascii="Bell MT" w:hAnsi="Bell MT"/>
          <w:b/>
          <w:bCs/>
          <w:sz w:val="28"/>
          <w:szCs w:val="28"/>
        </w:rPr>
        <w:t>Greater Mexico</w:t>
      </w:r>
      <w:r>
        <w:rPr>
          <w:rFonts w:ascii="Bell MT" w:hAnsi="Bell MT"/>
          <w:sz w:val="28"/>
          <w:szCs w:val="28"/>
        </w:rPr>
        <w:br/>
      </w:r>
      <w:r>
        <w:rPr>
          <w:rFonts w:ascii="Bell MT" w:hAnsi="Bell MT"/>
          <w:sz w:val="28"/>
          <w:szCs w:val="28"/>
        </w:rPr>
        <w:br/>
      </w:r>
      <w:r w:rsidR="00D46BB7">
        <w:rPr>
          <w:rFonts w:ascii="Bell MT" w:hAnsi="Bell MT"/>
          <w:sz w:val="28"/>
          <w:szCs w:val="28"/>
        </w:rPr>
        <w:t>Each speaker will discuss the concept of Nepantla as they understand it</w:t>
      </w:r>
      <w:r>
        <w:rPr>
          <w:rFonts w:ascii="Bell MT" w:hAnsi="Bell MT"/>
          <w:sz w:val="28"/>
          <w:szCs w:val="28"/>
        </w:rPr>
        <w:t>,</w:t>
      </w:r>
      <w:r w:rsidR="00D46BB7">
        <w:rPr>
          <w:rFonts w:ascii="Bell MT" w:hAnsi="Bell MT"/>
          <w:sz w:val="28"/>
          <w:szCs w:val="28"/>
        </w:rPr>
        <w:t xml:space="preserve"> taking into consideration the writings of Dr.</w:t>
      </w:r>
      <w:r w:rsidR="00D46BB7" w:rsidRPr="00D46BB7">
        <w:rPr>
          <w:rFonts w:ascii="Bell MT" w:hAnsi="Bell MT"/>
          <w:sz w:val="28"/>
          <w:szCs w:val="28"/>
          <w:lang w:val="es-ES"/>
        </w:rPr>
        <w:t xml:space="preserve"> Américo Paredes </w:t>
      </w:r>
      <w:r w:rsidR="00D46BB7" w:rsidRPr="00D46BB7">
        <w:rPr>
          <w:rFonts w:ascii="Bell MT" w:hAnsi="Bell MT"/>
          <w:sz w:val="28"/>
          <w:szCs w:val="28"/>
        </w:rPr>
        <w:t>which posited that</w:t>
      </w:r>
      <w:r w:rsidR="00D46BB7" w:rsidRPr="00D46BB7">
        <w:rPr>
          <w:rFonts w:ascii="Bell MT" w:hAnsi="Bell MT"/>
          <w:sz w:val="28"/>
          <w:szCs w:val="28"/>
          <w:lang w:val="es-ES"/>
        </w:rPr>
        <w:t xml:space="preserve"> </w:t>
      </w:r>
      <w:r w:rsidR="00D46BB7" w:rsidRPr="00D46BB7">
        <w:rPr>
          <w:rFonts w:ascii="Bell MT" w:hAnsi="Bell MT"/>
          <w:sz w:val="28"/>
          <w:szCs w:val="28"/>
        </w:rPr>
        <w:t>Mexican culture</w:t>
      </w:r>
      <w:r w:rsidR="00D46BB7">
        <w:rPr>
          <w:rFonts w:ascii="Bell MT" w:hAnsi="Bell MT"/>
          <w:sz w:val="28"/>
          <w:szCs w:val="28"/>
        </w:rPr>
        <w:t xml:space="preserve"> and identity </w:t>
      </w:r>
      <w:r w:rsidR="00E72F73">
        <w:rPr>
          <w:rFonts w:ascii="Bell MT" w:hAnsi="Bell MT"/>
          <w:sz w:val="28"/>
          <w:szCs w:val="28"/>
        </w:rPr>
        <w:t>presents</w:t>
      </w:r>
      <w:r w:rsidR="00D46BB7" w:rsidRPr="00D46BB7">
        <w:rPr>
          <w:rFonts w:ascii="Bell MT" w:hAnsi="Bell MT"/>
          <w:sz w:val="28"/>
          <w:szCs w:val="28"/>
        </w:rPr>
        <w:t xml:space="preserve"> itself not only throughout Mexico and </w:t>
      </w:r>
      <w:r w:rsidR="00E72F73">
        <w:rPr>
          <w:rFonts w:ascii="Bell MT" w:hAnsi="Bell MT"/>
          <w:sz w:val="28"/>
          <w:szCs w:val="28"/>
        </w:rPr>
        <w:t xml:space="preserve">on the </w:t>
      </w:r>
      <w:r w:rsidR="00D46BB7" w:rsidRPr="00D46BB7">
        <w:rPr>
          <w:rFonts w:ascii="Bell MT" w:hAnsi="Bell MT"/>
          <w:sz w:val="28"/>
          <w:szCs w:val="28"/>
        </w:rPr>
        <w:t xml:space="preserve">U.S.-Mexico borderlands but </w:t>
      </w:r>
      <w:r w:rsidR="00D46BB7">
        <w:rPr>
          <w:rFonts w:ascii="Bell MT" w:hAnsi="Bell MT"/>
          <w:sz w:val="28"/>
          <w:szCs w:val="28"/>
        </w:rPr>
        <w:t xml:space="preserve">wherever Mexicans and Mexican </w:t>
      </w:r>
      <w:r>
        <w:rPr>
          <w:rFonts w:ascii="Bell MT" w:hAnsi="Bell MT"/>
          <w:sz w:val="28"/>
          <w:szCs w:val="28"/>
        </w:rPr>
        <w:t>descendants</w:t>
      </w:r>
      <w:r w:rsidR="00D46BB7">
        <w:rPr>
          <w:rFonts w:ascii="Bell MT" w:hAnsi="Bell MT"/>
          <w:sz w:val="28"/>
          <w:szCs w:val="28"/>
        </w:rPr>
        <w:t xml:space="preserve"> live</w:t>
      </w:r>
      <w:r w:rsidR="00D46BB7" w:rsidRPr="00D46BB7">
        <w:rPr>
          <w:rFonts w:ascii="Bell MT" w:hAnsi="Bell MT"/>
          <w:sz w:val="28"/>
          <w:szCs w:val="28"/>
        </w:rPr>
        <w:t>. Paredes and several others refer to this region of Mexican cultural influence as “Greater</w:t>
      </w:r>
      <w:r w:rsidR="00D46BB7">
        <w:rPr>
          <w:rFonts w:ascii="TimesNewRoman" w:hAnsi="TimesNewRoman"/>
        </w:rPr>
        <w:t xml:space="preserve"> </w:t>
      </w:r>
      <w:r w:rsidR="00D46BB7" w:rsidRPr="00D46BB7">
        <w:rPr>
          <w:rFonts w:ascii="Bell MT" w:hAnsi="Bell MT"/>
          <w:sz w:val="28"/>
          <w:szCs w:val="28"/>
        </w:rPr>
        <w:t>Mexico</w:t>
      </w:r>
      <w:r w:rsidR="00D46BB7">
        <w:rPr>
          <w:rFonts w:ascii="Bell MT" w:hAnsi="Bell MT"/>
          <w:sz w:val="28"/>
          <w:szCs w:val="28"/>
        </w:rPr>
        <w:t xml:space="preserve">.” </w:t>
      </w:r>
      <w:r w:rsidR="00E72F73">
        <w:rPr>
          <w:rFonts w:ascii="Bell MT" w:hAnsi="Bell MT"/>
          <w:sz w:val="28"/>
          <w:szCs w:val="28"/>
        </w:rPr>
        <w:br/>
      </w:r>
      <w:r w:rsidR="00E72F73">
        <w:rPr>
          <w:rFonts w:ascii="Bell MT" w:hAnsi="Bell MT"/>
          <w:sz w:val="28"/>
          <w:szCs w:val="28"/>
        </w:rPr>
        <w:br/>
        <w:t xml:space="preserve">In addition to our Latinx roots, and </w:t>
      </w:r>
      <w:r w:rsidR="00D46BB7">
        <w:rPr>
          <w:rFonts w:ascii="Bell MT" w:hAnsi="Bell MT"/>
          <w:sz w:val="28"/>
          <w:szCs w:val="28"/>
        </w:rPr>
        <w:t xml:space="preserve">citizens of the United States of America </w:t>
      </w:r>
      <w:r w:rsidR="00E72F73">
        <w:rPr>
          <w:rFonts w:ascii="Bell MT" w:hAnsi="Bell MT"/>
          <w:sz w:val="28"/>
          <w:szCs w:val="28"/>
        </w:rPr>
        <w:t xml:space="preserve">our </w:t>
      </w:r>
      <w:r w:rsidR="00D46BB7">
        <w:rPr>
          <w:rFonts w:ascii="Bell MT" w:hAnsi="Bell MT"/>
          <w:sz w:val="28"/>
          <w:szCs w:val="28"/>
        </w:rPr>
        <w:t xml:space="preserve">panelists have also been educated in US schools and </w:t>
      </w:r>
      <w:r w:rsidR="00E72F73">
        <w:rPr>
          <w:rFonts w:ascii="Bell MT" w:hAnsi="Bell MT"/>
          <w:sz w:val="28"/>
          <w:szCs w:val="28"/>
        </w:rPr>
        <w:t>have been</w:t>
      </w:r>
      <w:r w:rsidR="00D46BB7">
        <w:rPr>
          <w:rFonts w:ascii="Bell MT" w:hAnsi="Bell MT"/>
          <w:sz w:val="28"/>
          <w:szCs w:val="28"/>
        </w:rPr>
        <w:t xml:space="preserve"> greatly influenced by US American culture in addition to </w:t>
      </w:r>
      <w:r w:rsidR="00E72F73">
        <w:rPr>
          <w:rFonts w:ascii="Bell MT" w:hAnsi="Bell MT"/>
          <w:sz w:val="28"/>
          <w:szCs w:val="28"/>
        </w:rPr>
        <w:t xml:space="preserve">what they learned growing up in </w:t>
      </w:r>
      <w:r w:rsidR="00D46BB7">
        <w:rPr>
          <w:rFonts w:ascii="Bell MT" w:hAnsi="Bell MT"/>
          <w:sz w:val="28"/>
          <w:szCs w:val="28"/>
        </w:rPr>
        <w:t>the</w:t>
      </w:r>
      <w:r w:rsidR="00E72F73">
        <w:rPr>
          <w:rFonts w:ascii="Bell MT" w:hAnsi="Bell MT"/>
          <w:sz w:val="28"/>
          <w:szCs w:val="28"/>
        </w:rPr>
        <w:t>ir</w:t>
      </w:r>
      <w:r w:rsidR="00D46BB7">
        <w:rPr>
          <w:rFonts w:ascii="Bell MT" w:hAnsi="Bell MT"/>
          <w:sz w:val="28"/>
          <w:szCs w:val="28"/>
        </w:rPr>
        <w:t xml:space="preserve"> bilingual</w:t>
      </w:r>
      <w:r w:rsidR="00E72F73">
        <w:rPr>
          <w:rFonts w:ascii="Bell MT" w:hAnsi="Bell MT"/>
          <w:sz w:val="28"/>
          <w:szCs w:val="28"/>
        </w:rPr>
        <w:t>-</w:t>
      </w:r>
      <w:r w:rsidR="00D46BB7">
        <w:rPr>
          <w:rFonts w:ascii="Bell MT" w:hAnsi="Bell MT"/>
          <w:sz w:val="28"/>
          <w:szCs w:val="28"/>
        </w:rPr>
        <w:t xml:space="preserve">multicultural homes. </w:t>
      </w:r>
      <w:r>
        <w:rPr>
          <w:rFonts w:ascii="Bell MT" w:hAnsi="Bell MT"/>
          <w:sz w:val="28"/>
          <w:szCs w:val="28"/>
        </w:rPr>
        <w:t xml:space="preserve">This in essence makes a case that everywhere we go – our greater Mexico if you will -- we straddle </w:t>
      </w:r>
      <w:r w:rsidR="00E72F73">
        <w:rPr>
          <w:rFonts w:ascii="Bell MT" w:hAnsi="Bell MT"/>
          <w:sz w:val="28"/>
          <w:szCs w:val="28"/>
        </w:rPr>
        <w:t>at least two</w:t>
      </w:r>
      <w:r>
        <w:rPr>
          <w:rFonts w:ascii="Bell MT" w:hAnsi="Bell MT"/>
          <w:sz w:val="28"/>
          <w:szCs w:val="28"/>
        </w:rPr>
        <w:t xml:space="preserve"> </w:t>
      </w:r>
      <w:r w:rsidR="00E72F73">
        <w:rPr>
          <w:rFonts w:ascii="Bell MT" w:hAnsi="Bell MT"/>
          <w:sz w:val="28"/>
          <w:szCs w:val="28"/>
        </w:rPr>
        <w:t>worlds;</w:t>
      </w:r>
      <w:r>
        <w:rPr>
          <w:rFonts w:ascii="Bell MT" w:hAnsi="Bell MT"/>
          <w:sz w:val="28"/>
          <w:szCs w:val="28"/>
        </w:rPr>
        <w:t xml:space="preserve"> </w:t>
      </w:r>
      <w:r w:rsidR="00E72F73">
        <w:rPr>
          <w:rFonts w:ascii="Bell MT" w:hAnsi="Bell MT"/>
          <w:sz w:val="28"/>
          <w:szCs w:val="28"/>
        </w:rPr>
        <w:t xml:space="preserve">we </w:t>
      </w:r>
      <w:r>
        <w:rPr>
          <w:rFonts w:ascii="Bell MT" w:hAnsi="Bell MT"/>
          <w:sz w:val="28"/>
          <w:szCs w:val="28"/>
        </w:rPr>
        <w:t>are neither Mexican nor United-statian. We are from</w:t>
      </w:r>
      <w:r w:rsidR="00E72F73">
        <w:rPr>
          <w:rFonts w:ascii="Bell MT" w:hAnsi="Bell MT"/>
          <w:sz w:val="28"/>
          <w:szCs w:val="28"/>
        </w:rPr>
        <w:t xml:space="preserve">, </w:t>
      </w:r>
      <w:r>
        <w:rPr>
          <w:rFonts w:ascii="Bell MT" w:hAnsi="Bell MT"/>
          <w:sz w:val="28"/>
          <w:szCs w:val="28"/>
        </w:rPr>
        <w:t xml:space="preserve">or </w:t>
      </w:r>
      <w:r w:rsidRPr="0076418E">
        <w:rPr>
          <w:rFonts w:ascii="Bell MT" w:hAnsi="Bell MT"/>
          <w:i/>
          <w:iCs/>
          <w:sz w:val="28"/>
          <w:szCs w:val="28"/>
        </w:rPr>
        <w:t>are</w:t>
      </w:r>
      <w:r w:rsidR="00E72F73">
        <w:rPr>
          <w:rFonts w:ascii="Bell MT" w:hAnsi="Bell MT"/>
          <w:i/>
          <w:iCs/>
          <w:sz w:val="28"/>
          <w:szCs w:val="28"/>
        </w:rPr>
        <w:t xml:space="preserve">, </w:t>
      </w:r>
      <w:r>
        <w:rPr>
          <w:rFonts w:ascii="Bell MT" w:hAnsi="Bell MT"/>
          <w:sz w:val="28"/>
          <w:szCs w:val="28"/>
        </w:rPr>
        <w:t xml:space="preserve">Nepantla. </w:t>
      </w:r>
    </w:p>
    <w:p w:rsidR="0076418E" w:rsidRDefault="0076418E" w:rsidP="0076418E">
      <w:pPr>
        <w:rPr>
          <w:rFonts w:ascii="Bell MT" w:eastAsia="Times New Roman" w:hAnsi="Bell MT" w:cs="Arial"/>
          <w:color w:val="282828"/>
          <w:sz w:val="30"/>
          <w:szCs w:val="30"/>
          <w:shd w:val="clear" w:color="auto" w:fill="FFFFFF"/>
        </w:rPr>
      </w:pPr>
      <w:r w:rsidRPr="0076418E">
        <w:rPr>
          <w:rFonts w:ascii="Bell MT" w:hAnsi="Bell MT"/>
          <w:b/>
          <w:bCs/>
          <w:sz w:val="28"/>
          <w:szCs w:val="28"/>
        </w:rPr>
        <w:t xml:space="preserve">Nepantla </w:t>
      </w:r>
      <w:r w:rsidRPr="0076418E">
        <w:rPr>
          <w:rFonts w:ascii="Bell MT" w:hAnsi="Bell MT"/>
          <w:b/>
          <w:bCs/>
          <w:sz w:val="28"/>
          <w:szCs w:val="28"/>
        </w:rPr>
        <w:br/>
      </w:r>
      <w:r w:rsidRPr="0076418E">
        <w:rPr>
          <w:rFonts w:ascii="Bell MT" w:hAnsi="Bell MT"/>
          <w:b/>
          <w:bCs/>
          <w:sz w:val="28"/>
          <w:szCs w:val="28"/>
        </w:rPr>
        <w:br/>
      </w:r>
      <w:r w:rsidRPr="0076418E">
        <w:rPr>
          <w:rFonts w:ascii="Bell MT" w:eastAsia="Times New Roman" w:hAnsi="Bell MT" w:cs="Arial"/>
          <w:color w:val="282828"/>
          <w:sz w:val="30"/>
          <w:szCs w:val="30"/>
          <w:shd w:val="clear" w:color="auto" w:fill="FFFFFF"/>
        </w:rPr>
        <w:t xml:space="preserve">In “Light in the Dark/Luz en lo Oscuro” </w:t>
      </w:r>
      <w:r w:rsidR="00E72F73">
        <w:rPr>
          <w:rFonts w:ascii="Bell MT" w:eastAsia="Times New Roman" w:hAnsi="Bell MT" w:cs="Arial"/>
          <w:color w:val="282828"/>
          <w:sz w:val="30"/>
          <w:szCs w:val="30"/>
          <w:shd w:val="clear" w:color="auto" w:fill="FFFFFF"/>
        </w:rPr>
        <w:t xml:space="preserve">Dr. Gloria </w:t>
      </w:r>
      <w:r w:rsidRPr="0076418E">
        <w:rPr>
          <w:rFonts w:ascii="Bell MT" w:eastAsia="Times New Roman" w:hAnsi="Bell MT" w:cs="Arial"/>
          <w:color w:val="282828"/>
          <w:sz w:val="30"/>
          <w:szCs w:val="30"/>
          <w:shd w:val="clear" w:color="auto" w:fill="FFFFFF"/>
        </w:rPr>
        <w:t xml:space="preserve">Anzaldúa claims that, “las nepantleras </w:t>
      </w:r>
      <w:r>
        <w:rPr>
          <w:rFonts w:ascii="Bell MT" w:eastAsia="Times New Roman" w:hAnsi="Bell MT" w:cs="Arial"/>
          <w:color w:val="282828"/>
          <w:sz w:val="30"/>
          <w:szCs w:val="30"/>
          <w:shd w:val="clear" w:color="auto" w:fill="FFFFFF"/>
        </w:rPr>
        <w:t xml:space="preserve">(people from Nepantla consciousness) </w:t>
      </w:r>
      <w:r w:rsidRPr="0076418E">
        <w:rPr>
          <w:rFonts w:ascii="Bell MT" w:eastAsia="Times New Roman" w:hAnsi="Bell MT" w:cs="Arial"/>
          <w:color w:val="282828"/>
          <w:sz w:val="30"/>
          <w:szCs w:val="30"/>
          <w:shd w:val="clear" w:color="auto" w:fill="FFFFFF"/>
        </w:rPr>
        <w:t>construct alternative roads creating new topographies and geographies of hybrid selves who transcend binaries and de-polarize potential allies…[and] are not constrained by one culture or world but experience multiple realities</w:t>
      </w:r>
      <w:r>
        <w:rPr>
          <w:rFonts w:ascii="Bell MT" w:eastAsia="Times New Roman" w:hAnsi="Bell MT" w:cs="Arial"/>
          <w:color w:val="282828"/>
          <w:sz w:val="30"/>
          <w:szCs w:val="30"/>
          <w:shd w:val="clear" w:color="auto" w:fill="FFFFFF"/>
        </w:rPr>
        <w:t xml:space="preserve">.” </w:t>
      </w:r>
      <w:r w:rsidR="00E72F73">
        <w:rPr>
          <w:rFonts w:ascii="Bell MT" w:eastAsia="Times New Roman" w:hAnsi="Bell MT" w:cs="Arial"/>
          <w:color w:val="282828"/>
          <w:sz w:val="30"/>
          <w:szCs w:val="30"/>
          <w:shd w:val="clear" w:color="auto" w:fill="FFFFFF"/>
        </w:rPr>
        <w:br/>
      </w:r>
      <w:r w:rsidR="00E72F73">
        <w:rPr>
          <w:rFonts w:ascii="Bell MT" w:eastAsia="Times New Roman" w:hAnsi="Bell MT" w:cs="Arial"/>
          <w:color w:val="282828"/>
          <w:sz w:val="30"/>
          <w:szCs w:val="30"/>
          <w:shd w:val="clear" w:color="auto" w:fill="FFFFFF"/>
        </w:rPr>
        <w:br/>
      </w:r>
      <w:r>
        <w:rPr>
          <w:rFonts w:ascii="Bell MT" w:eastAsia="Times New Roman" w:hAnsi="Bell MT" w:cs="Arial"/>
          <w:color w:val="282828"/>
          <w:sz w:val="30"/>
          <w:szCs w:val="30"/>
          <w:shd w:val="clear" w:color="auto" w:fill="FFFFFF"/>
        </w:rPr>
        <w:t xml:space="preserve">Those of us who consider ourselves citizens of a broken planet identify with Anzaldua’s concept of rising above </w:t>
      </w:r>
      <w:r w:rsidR="00E72F73">
        <w:rPr>
          <w:rFonts w:ascii="Bell MT" w:eastAsia="Times New Roman" w:hAnsi="Bell MT" w:cs="Arial"/>
          <w:color w:val="282828"/>
          <w:sz w:val="30"/>
          <w:szCs w:val="30"/>
          <w:shd w:val="clear" w:color="auto" w:fill="FFFFFF"/>
        </w:rPr>
        <w:t xml:space="preserve">nationalism , and isms in general, to </w:t>
      </w:r>
      <w:r w:rsidR="00E72F73">
        <w:rPr>
          <w:rFonts w:ascii="Bell MT" w:eastAsia="Times New Roman" w:hAnsi="Bell MT" w:cs="Arial"/>
          <w:color w:val="282828"/>
          <w:sz w:val="30"/>
          <w:szCs w:val="30"/>
          <w:shd w:val="clear" w:color="auto" w:fill="FFFFFF"/>
        </w:rPr>
        <w:lastRenderedPageBreak/>
        <w:t>work towards other ways of “seeing” and dreaming the world whole again. As poets and story tellers, we believe that another world is possible.</w:t>
      </w:r>
    </w:p>
    <w:p w:rsidR="00E72F73" w:rsidRDefault="00E72F73" w:rsidP="0076418E">
      <w:pPr>
        <w:rPr>
          <w:rFonts w:ascii="Bell MT" w:eastAsia="Times New Roman" w:hAnsi="Bell MT" w:cs="Arial"/>
          <w:color w:val="282828"/>
          <w:sz w:val="30"/>
          <w:szCs w:val="30"/>
          <w:shd w:val="clear" w:color="auto" w:fill="FFFFFF"/>
        </w:rPr>
      </w:pPr>
    </w:p>
    <w:p w:rsidR="00E72F73" w:rsidRPr="0076418E" w:rsidRDefault="00016604" w:rsidP="0076418E">
      <w:pPr>
        <w:rPr>
          <w:rFonts w:ascii="Arial" w:eastAsia="Times New Roman" w:hAnsi="Arial" w:cs="Arial"/>
          <w:color w:val="282828"/>
          <w:sz w:val="30"/>
          <w:szCs w:val="30"/>
          <w:shd w:val="clear" w:color="auto" w:fill="FFFFFF"/>
        </w:rPr>
      </w:pPr>
      <w:r>
        <w:rPr>
          <w:rFonts w:ascii="Bell MT" w:eastAsia="Times New Roman" w:hAnsi="Bell MT" w:cs="Arial"/>
          <w:color w:val="282828"/>
          <w:sz w:val="30"/>
          <w:szCs w:val="30"/>
          <w:shd w:val="clear" w:color="auto" w:fill="FFFFFF"/>
        </w:rPr>
        <w:t>In conjunction with their discussion on the topic a</w:t>
      </w:r>
      <w:r w:rsidR="00E72F73">
        <w:rPr>
          <w:rFonts w:ascii="Bell MT" w:eastAsia="Times New Roman" w:hAnsi="Bell MT" w:cs="Arial"/>
          <w:color w:val="282828"/>
          <w:sz w:val="30"/>
          <w:szCs w:val="30"/>
          <w:shd w:val="clear" w:color="auto" w:fill="FFFFFF"/>
        </w:rPr>
        <w:t xml:space="preserve">uthors will read poems and experts of work to amplify the concept of </w:t>
      </w:r>
      <w:r w:rsidR="00E72F73" w:rsidRPr="00016604">
        <w:rPr>
          <w:rFonts w:ascii="Bell MT" w:eastAsia="Times New Roman" w:hAnsi="Bell MT" w:cs="Arial"/>
          <w:i/>
          <w:iCs/>
          <w:color w:val="282828"/>
          <w:sz w:val="30"/>
          <w:szCs w:val="30"/>
          <w:shd w:val="clear" w:color="auto" w:fill="FFFFFF"/>
        </w:rPr>
        <w:t>Writing Nepantla.</w:t>
      </w:r>
    </w:p>
    <w:p w:rsidR="0076418E" w:rsidRPr="0076418E" w:rsidRDefault="0076418E" w:rsidP="00D46BB7">
      <w:pPr>
        <w:pStyle w:val="NormalWeb"/>
        <w:shd w:val="clear" w:color="auto" w:fill="FFFFFF"/>
        <w:rPr>
          <w:rFonts w:ascii="Bell MT" w:hAnsi="Bell MT"/>
          <w:b/>
          <w:bCs/>
          <w:sz w:val="28"/>
          <w:szCs w:val="28"/>
        </w:rPr>
      </w:pPr>
    </w:p>
    <w:p w:rsidR="00D46BB7" w:rsidRDefault="0076418E" w:rsidP="00D46BB7">
      <w:pPr>
        <w:pStyle w:val="NormalWeb"/>
        <w:shd w:val="clear" w:color="auto" w:fill="FFFFFF"/>
      </w:pPr>
      <w:r>
        <w:rPr>
          <w:rFonts w:ascii="Bell MT" w:hAnsi="Bell MT"/>
          <w:sz w:val="28"/>
          <w:szCs w:val="28"/>
        </w:rPr>
        <w:br/>
      </w:r>
      <w:r>
        <w:rPr>
          <w:rFonts w:ascii="Bell MT" w:hAnsi="Bell MT"/>
          <w:sz w:val="28"/>
          <w:szCs w:val="28"/>
        </w:rPr>
        <w:br/>
      </w:r>
    </w:p>
    <w:p w:rsidR="00D46BB7" w:rsidRPr="00D46BB7" w:rsidRDefault="00D46BB7" w:rsidP="00550F9F">
      <w:pPr>
        <w:rPr>
          <w:rFonts w:ascii="Bell MT" w:hAnsi="Bell MT"/>
          <w:sz w:val="28"/>
          <w:szCs w:val="28"/>
        </w:rPr>
      </w:pPr>
      <w:bookmarkStart w:id="0" w:name="_GoBack"/>
      <w:bookmarkEnd w:id="0"/>
    </w:p>
    <w:sectPr w:rsidR="00D46BB7" w:rsidRPr="00D46BB7" w:rsidSect="00D75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TimesNewRoman">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9F"/>
    <w:rsid w:val="00016604"/>
    <w:rsid w:val="00550F9F"/>
    <w:rsid w:val="0076418E"/>
    <w:rsid w:val="00866FA0"/>
    <w:rsid w:val="00D46BB7"/>
    <w:rsid w:val="00D751FC"/>
    <w:rsid w:val="00E7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AF4263"/>
  <w14:defaultImageDpi w14:val="32767"/>
  <w15:chartTrackingRefBased/>
  <w15:docId w15:val="{EEC6F8AC-1640-B344-B57F-0B8FF62B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BB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6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86068">
      <w:bodyDiv w:val="1"/>
      <w:marLeft w:val="0"/>
      <w:marRight w:val="0"/>
      <w:marTop w:val="0"/>
      <w:marBottom w:val="0"/>
      <w:divBdr>
        <w:top w:val="none" w:sz="0" w:space="0" w:color="auto"/>
        <w:left w:val="none" w:sz="0" w:space="0" w:color="auto"/>
        <w:bottom w:val="none" w:sz="0" w:space="0" w:color="auto"/>
        <w:right w:val="none" w:sz="0" w:space="0" w:color="auto"/>
      </w:divBdr>
      <w:divsChild>
        <w:div w:id="1314871203">
          <w:marLeft w:val="0"/>
          <w:marRight w:val="0"/>
          <w:marTop w:val="0"/>
          <w:marBottom w:val="0"/>
          <w:divBdr>
            <w:top w:val="none" w:sz="0" w:space="0" w:color="auto"/>
            <w:left w:val="none" w:sz="0" w:space="0" w:color="auto"/>
            <w:bottom w:val="none" w:sz="0" w:space="0" w:color="auto"/>
            <w:right w:val="none" w:sz="0" w:space="0" w:color="auto"/>
          </w:divBdr>
          <w:divsChild>
            <w:div w:id="2133744235">
              <w:marLeft w:val="0"/>
              <w:marRight w:val="0"/>
              <w:marTop w:val="0"/>
              <w:marBottom w:val="0"/>
              <w:divBdr>
                <w:top w:val="none" w:sz="0" w:space="0" w:color="auto"/>
                <w:left w:val="none" w:sz="0" w:space="0" w:color="auto"/>
                <w:bottom w:val="none" w:sz="0" w:space="0" w:color="auto"/>
                <w:right w:val="none" w:sz="0" w:space="0" w:color="auto"/>
              </w:divBdr>
              <w:divsChild>
                <w:div w:id="2137798516">
                  <w:marLeft w:val="0"/>
                  <w:marRight w:val="0"/>
                  <w:marTop w:val="0"/>
                  <w:marBottom w:val="0"/>
                  <w:divBdr>
                    <w:top w:val="none" w:sz="0" w:space="0" w:color="auto"/>
                    <w:left w:val="none" w:sz="0" w:space="0" w:color="auto"/>
                    <w:bottom w:val="none" w:sz="0" w:space="0" w:color="auto"/>
                    <w:right w:val="none" w:sz="0" w:space="0" w:color="auto"/>
                  </w:divBdr>
                  <w:divsChild>
                    <w:div w:id="11309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Odilia Galvan Rodriguez</dc:creator>
  <cp:keywords/>
  <dc:description/>
  <cp:lastModifiedBy>Odilia Galvan Rodriguez</cp:lastModifiedBy>
  <cp:revision>2</cp:revision>
  <dcterms:created xsi:type="dcterms:W3CDTF">2019-08-15T00:55:00Z</dcterms:created>
  <dcterms:modified xsi:type="dcterms:W3CDTF">2019-08-15T01:50:00Z</dcterms:modified>
</cp:coreProperties>
</file>